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5A4F33" w:rsidRPr="005A4F33">
        <w:rPr>
          <w:rFonts w:ascii="HGPｺﾞｼｯｸM" w:eastAsia="HGPｺﾞｼｯｸM" w:hAnsi="ＭＳ 明朝" w:cs="MS-Mincho" w:hint="eastAsia"/>
          <w:kern w:val="0"/>
          <w:szCs w:val="21"/>
        </w:rPr>
        <w:t>労働者派遣業務契約(経理課契約係事務員)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5A4F33"/>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2018-02-16T07:30:00Z</dcterms:modified>
</cp:coreProperties>
</file>